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F" w:rsidRDefault="002A5B2F" w:rsidP="002A5B2F">
      <w:pPr>
        <w:jc w:val="center"/>
      </w:pPr>
      <w:r>
        <w:t>ШАХМАТЫ</w:t>
      </w:r>
    </w:p>
    <w:tbl>
      <w:tblPr>
        <w:tblW w:w="10315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561"/>
        <w:gridCol w:w="1282"/>
        <w:gridCol w:w="4786"/>
        <w:gridCol w:w="1842"/>
        <w:gridCol w:w="851"/>
        <w:gridCol w:w="993"/>
      </w:tblGrid>
      <w:tr w:rsidR="002A5B2F" w:rsidRPr="00361DD2" w:rsidTr="002A5B2F">
        <w:tc>
          <w:tcPr>
            <w:tcW w:w="561" w:type="dxa"/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 w:rsidRPr="00361DD2">
              <w:rPr>
                <w:sz w:val="20"/>
                <w:szCs w:val="20"/>
              </w:rPr>
              <w:t>№</w:t>
            </w:r>
          </w:p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1DD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1DD2">
              <w:rPr>
                <w:sz w:val="20"/>
                <w:szCs w:val="20"/>
              </w:rPr>
              <w:t>/</w:t>
            </w:r>
            <w:proofErr w:type="spellStart"/>
            <w:r w:rsidRPr="00361DD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 w:rsidRPr="00361DD2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4786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товара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 w:rsidRPr="00361DD2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61DD2">
              <w:rPr>
                <w:sz w:val="20"/>
                <w:szCs w:val="20"/>
              </w:rPr>
              <w:t>происхож-дения</w:t>
            </w:r>
            <w:proofErr w:type="spellEnd"/>
            <w:proofErr w:type="gramEnd"/>
            <w:r w:rsidRPr="00361DD2"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 w:rsidRPr="00361DD2">
              <w:rPr>
                <w:sz w:val="20"/>
                <w:szCs w:val="20"/>
              </w:rPr>
              <w:t xml:space="preserve">Ед. </w:t>
            </w:r>
            <w:proofErr w:type="spellStart"/>
            <w:r w:rsidRPr="00361DD2">
              <w:rPr>
                <w:sz w:val="20"/>
                <w:szCs w:val="20"/>
              </w:rPr>
              <w:t>изм</w:t>
            </w:r>
            <w:proofErr w:type="spellEnd"/>
            <w:r w:rsidRPr="00361DD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1DD2"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</w:tr>
      <w:tr w:rsidR="002A5B2F" w:rsidTr="002A5B2F">
        <w:tc>
          <w:tcPr>
            <w:tcW w:w="561" w:type="dxa"/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 w:rsidRPr="00361DD2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2A5B2F" w:rsidRDefault="002A5B2F" w:rsidP="00F37FF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шахматная с фигурами шахматными</w:t>
            </w:r>
          </w:p>
        </w:tc>
        <w:tc>
          <w:tcPr>
            <w:tcW w:w="4786" w:type="dxa"/>
            <w:tcBorders>
              <w:left w:val="single" w:sz="4" w:space="0" w:color="000001"/>
              <w:right w:val="single" w:sz="4" w:space="0" w:color="000001"/>
            </w:tcBorders>
          </w:tcPr>
          <w:p w:rsidR="002A5B2F" w:rsidRDefault="002A5B2F" w:rsidP="00F37FF7">
            <w:pPr>
              <w:snapToGrid w:val="0"/>
              <w:jc w:val="both"/>
              <w:rPr>
                <w:sz w:val="20"/>
                <w:szCs w:val="20"/>
              </w:rPr>
            </w:pPr>
            <w:r w:rsidRPr="00146C79">
              <w:rPr>
                <w:sz w:val="20"/>
                <w:szCs w:val="20"/>
              </w:rPr>
              <w:t xml:space="preserve">Материал доски - дерево, размер доски в разложенном виде 430х430х23 мм. Тип доски: </w:t>
            </w:r>
            <w:proofErr w:type="gramStart"/>
            <w:r w:rsidRPr="00146C79">
              <w:rPr>
                <w:sz w:val="20"/>
                <w:szCs w:val="20"/>
              </w:rPr>
              <w:t>складная</w:t>
            </w:r>
            <w:proofErr w:type="gramEnd"/>
            <w:r w:rsidRPr="00146C79">
              <w:rPr>
                <w:sz w:val="20"/>
                <w:szCs w:val="20"/>
              </w:rPr>
              <w:t xml:space="preserve">. Внутри доски есть пространство для хранения фигур, сбоку — защёлка, которая предотвращает произвольное раскрытие. Размер каждой клетки 45х45 мм. Со всех сторон от игрового поля, на доску нанесена шахматная нотация. </w:t>
            </w:r>
            <w:proofErr w:type="gramStart"/>
            <w:r w:rsidRPr="00146C79">
              <w:rPr>
                <w:sz w:val="20"/>
                <w:szCs w:val="20"/>
              </w:rPr>
              <w:t>В комплект входят 32 шахматные фигуры: - 16 фигур «белые» (один король, один ферзь, две ладьи, два слона, два коня и восемь пешек), - 16 фигур «черные» (один король, один ферзь, две ладьи, два слона, два коня и восемь пешек).</w:t>
            </w:r>
            <w:proofErr w:type="gramEnd"/>
            <w:r w:rsidRPr="00146C79">
              <w:rPr>
                <w:sz w:val="20"/>
                <w:szCs w:val="20"/>
              </w:rPr>
              <w:t xml:space="preserve"> Материал изготовления шахматных фигур: дерево (бук), покрыты глянцевым лаком. Основание фигур сделано из войлока. Внутри каждой фигуры находится утяжелитель для устойчивого положения </w:t>
            </w:r>
            <w:r>
              <w:rPr>
                <w:sz w:val="20"/>
                <w:szCs w:val="20"/>
              </w:rPr>
              <w:t xml:space="preserve">фигуры на доске. Высота короля </w:t>
            </w:r>
            <w:r w:rsidRPr="00146C79">
              <w:rPr>
                <w:sz w:val="20"/>
                <w:szCs w:val="20"/>
              </w:rPr>
              <w:t>105 мм, диаметр о</w:t>
            </w:r>
            <w:r>
              <w:rPr>
                <w:sz w:val="20"/>
                <w:szCs w:val="20"/>
              </w:rPr>
              <w:t xml:space="preserve">снования 35 мм. Высота пешки </w:t>
            </w:r>
            <w:r w:rsidRPr="00146C79">
              <w:rPr>
                <w:sz w:val="20"/>
                <w:szCs w:val="20"/>
              </w:rPr>
              <w:t>43 мм, диаметр основания 25 мм. Высота ферзя 100 мм. Высота ладьи 24 мм. Вы</w:t>
            </w:r>
            <w:r>
              <w:rPr>
                <w:sz w:val="20"/>
                <w:szCs w:val="20"/>
              </w:rPr>
              <w:t xml:space="preserve">сота слона 65 мм. Высота коня </w:t>
            </w:r>
            <w:r w:rsidRPr="00146C79">
              <w:rPr>
                <w:sz w:val="20"/>
                <w:szCs w:val="20"/>
              </w:rPr>
              <w:t>54 мм. Вес комплекта 1,5 кг.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</w:tr>
      <w:tr w:rsidR="002A5B2F" w:rsidRPr="00AF0982" w:rsidTr="002A5B2F">
        <w:tc>
          <w:tcPr>
            <w:tcW w:w="561" w:type="dxa"/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2A5B2F" w:rsidRDefault="002A5B2F" w:rsidP="00F37FF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Шахматные часы</w:t>
            </w:r>
          </w:p>
        </w:tc>
        <w:tc>
          <w:tcPr>
            <w:tcW w:w="4786" w:type="dxa"/>
            <w:tcBorders>
              <w:left w:val="single" w:sz="4" w:space="0" w:color="000001"/>
              <w:right w:val="single" w:sz="4" w:space="0" w:color="000001"/>
            </w:tcBorders>
          </w:tcPr>
          <w:p w:rsidR="002A5B2F" w:rsidRDefault="002A5B2F" w:rsidP="00F37FF7">
            <w:pPr>
              <w:snapToGrid w:val="0"/>
              <w:jc w:val="both"/>
              <w:rPr>
                <w:sz w:val="20"/>
                <w:szCs w:val="20"/>
              </w:rPr>
            </w:pPr>
            <w:r w:rsidRPr="00146C79">
              <w:rPr>
                <w:sz w:val="20"/>
                <w:szCs w:val="20"/>
              </w:rPr>
              <w:t>Шахматные часы: электронные, материал корпуса пластик, два монохромных дисплея, наличи</w:t>
            </w:r>
            <w:r>
              <w:rPr>
                <w:sz w:val="20"/>
                <w:szCs w:val="20"/>
              </w:rPr>
              <w:t xml:space="preserve">е </w:t>
            </w:r>
            <w:r w:rsidRPr="00146C79">
              <w:rPr>
                <w:sz w:val="20"/>
                <w:szCs w:val="20"/>
              </w:rPr>
              <w:t>1 кнопки для остановки времени (переключения хо</w:t>
            </w:r>
            <w:r>
              <w:rPr>
                <w:sz w:val="20"/>
                <w:szCs w:val="20"/>
              </w:rPr>
              <w:t>дов). Размер часов 130х90х40 мм</w:t>
            </w:r>
            <w:r w:rsidRPr="00146C79">
              <w:rPr>
                <w:sz w:val="20"/>
                <w:szCs w:val="20"/>
              </w:rPr>
              <w:t>. Масса  500 г Тип питания - батареи типа «АА» в комплекте 1 шт.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Китайская Народная Республика 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Pr="00AF0982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A5B2F" w:rsidRPr="00AF0982" w:rsidTr="002A5B2F">
        <w:tc>
          <w:tcPr>
            <w:tcW w:w="561" w:type="dxa"/>
            <w:tcMar>
              <w:left w:w="103" w:type="dxa"/>
            </w:tcMar>
            <w:vAlign w:val="center"/>
          </w:tcPr>
          <w:p w:rsidR="002A5B2F" w:rsidRDefault="002A5B2F" w:rsidP="00F3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2A5B2F" w:rsidRDefault="002A5B2F" w:rsidP="00F37FF7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Шахматные часы</w:t>
            </w:r>
          </w:p>
        </w:tc>
        <w:tc>
          <w:tcPr>
            <w:tcW w:w="4786" w:type="dxa"/>
            <w:tcBorders>
              <w:left w:val="single" w:sz="4" w:space="0" w:color="000001"/>
              <w:right w:val="single" w:sz="4" w:space="0" w:color="000001"/>
            </w:tcBorders>
          </w:tcPr>
          <w:p w:rsidR="002A5B2F" w:rsidRDefault="002A5B2F" w:rsidP="00F37FF7">
            <w:pPr>
              <w:snapToGrid w:val="0"/>
              <w:jc w:val="both"/>
              <w:rPr>
                <w:sz w:val="20"/>
                <w:szCs w:val="20"/>
              </w:rPr>
            </w:pPr>
            <w:r w:rsidRPr="00146C79">
              <w:rPr>
                <w:sz w:val="20"/>
                <w:szCs w:val="20"/>
              </w:rPr>
              <w:t xml:space="preserve">Шахматные часы: электронные, материал корпуса пластик, </w:t>
            </w:r>
            <w:r>
              <w:rPr>
                <w:sz w:val="20"/>
                <w:szCs w:val="20"/>
              </w:rPr>
              <w:t xml:space="preserve">два монохромных дисплея, </w:t>
            </w:r>
            <w:proofErr w:type="spellStart"/>
            <w:r>
              <w:rPr>
                <w:sz w:val="20"/>
                <w:szCs w:val="20"/>
              </w:rPr>
              <w:t>наличи</w:t>
            </w:r>
            <w:proofErr w:type="spellEnd"/>
            <w:r w:rsidRPr="00146C79">
              <w:rPr>
                <w:sz w:val="20"/>
                <w:szCs w:val="20"/>
              </w:rPr>
              <w:t xml:space="preserve"> 1 кнопки для остановки времени (переключения хо</w:t>
            </w:r>
            <w:r>
              <w:rPr>
                <w:sz w:val="20"/>
                <w:szCs w:val="20"/>
              </w:rPr>
              <w:t>дов). Размер часов 130х90х40 мм</w:t>
            </w:r>
            <w:r w:rsidRPr="00146C79">
              <w:rPr>
                <w:sz w:val="20"/>
                <w:szCs w:val="20"/>
              </w:rPr>
              <w:t>. Масса  500 г Тип питания - батареи типа «АА» в комплекте 1 шт.</w:t>
            </w:r>
          </w:p>
        </w:tc>
        <w:tc>
          <w:tcPr>
            <w:tcW w:w="184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2A5B2F" w:rsidRPr="00361DD2" w:rsidRDefault="002A5B2F" w:rsidP="00F37F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Китайская Народная Республика 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A5B2F" w:rsidRPr="00AF0982" w:rsidRDefault="002A5B2F" w:rsidP="00F37F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2A5B2F" w:rsidRDefault="002A5B2F"/>
    <w:sectPr w:rsidR="002A5B2F" w:rsidSect="003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5B2F"/>
    <w:rsid w:val="000E2DD1"/>
    <w:rsid w:val="002A5B2F"/>
    <w:rsid w:val="00314CB1"/>
    <w:rsid w:val="0035038F"/>
    <w:rsid w:val="004407B5"/>
    <w:rsid w:val="00780283"/>
    <w:rsid w:val="00867150"/>
    <w:rsid w:val="0089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2022-09-07T18:00:00Z</dcterms:created>
  <dcterms:modified xsi:type="dcterms:W3CDTF">2022-09-07T18:03:00Z</dcterms:modified>
</cp:coreProperties>
</file>